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A3" w:rsidRPr="000D52A3" w:rsidRDefault="000D52A3" w:rsidP="000D52A3">
      <w:pPr>
        <w:pStyle w:val="NormalnyWeb"/>
      </w:pPr>
      <w:r w:rsidRPr="000D52A3">
        <w:rPr>
          <w:b/>
          <w:bCs/>
        </w:rPr>
        <w:t>Władza ustawodawcza</w:t>
      </w:r>
      <w:r w:rsidRPr="000D52A3">
        <w:t xml:space="preserve"> (</w:t>
      </w:r>
      <w:r w:rsidRPr="000D52A3">
        <w:rPr>
          <w:b/>
          <w:bCs/>
        </w:rPr>
        <w:t>legislatywa</w:t>
      </w:r>
      <w:r w:rsidRPr="000D52A3">
        <w:t xml:space="preserve">, </w:t>
      </w:r>
      <w:r w:rsidRPr="000D52A3">
        <w:rPr>
          <w:b/>
          <w:bCs/>
        </w:rPr>
        <w:t>władza prawodawcza</w:t>
      </w:r>
      <w:r w:rsidRPr="000D52A3">
        <w:t xml:space="preserve">) – jeden z elementów teorii </w:t>
      </w:r>
      <w:hyperlink r:id="rId5" w:tooltip="Trójpodział władzy" w:history="1">
        <w:r w:rsidRPr="000D52A3">
          <w:rPr>
            <w:rStyle w:val="Hipercze"/>
            <w:color w:val="auto"/>
          </w:rPr>
          <w:t>trójpodziału władzy</w:t>
        </w:r>
      </w:hyperlink>
      <w:r w:rsidRPr="000D52A3">
        <w:t xml:space="preserve"> </w:t>
      </w:r>
      <w:hyperlink r:id="rId6" w:tooltip="Monteskiusz" w:history="1">
        <w:r w:rsidRPr="000D52A3">
          <w:rPr>
            <w:rStyle w:val="Hipercze"/>
            <w:color w:val="auto"/>
          </w:rPr>
          <w:t>Monteskiusza</w:t>
        </w:r>
      </w:hyperlink>
      <w:r w:rsidRPr="000D52A3">
        <w:t xml:space="preserve">, polegający przede wszystkim na ustanawianiu obowiązującego </w:t>
      </w:r>
      <w:hyperlink r:id="rId7" w:tooltip="Prawo" w:history="1">
        <w:r w:rsidRPr="000D52A3">
          <w:rPr>
            <w:rStyle w:val="Hipercze"/>
            <w:color w:val="auto"/>
          </w:rPr>
          <w:t>prawa</w:t>
        </w:r>
      </w:hyperlink>
      <w:r w:rsidRPr="000D52A3">
        <w:t>.</w:t>
      </w:r>
    </w:p>
    <w:p w:rsidR="000D52A3" w:rsidRPr="000D52A3" w:rsidRDefault="000D52A3" w:rsidP="000D52A3">
      <w:pPr>
        <w:pStyle w:val="NormalnyWeb"/>
      </w:pPr>
      <w:r w:rsidRPr="000D52A3">
        <w:t xml:space="preserve">We współczesnych państwach </w:t>
      </w:r>
      <w:hyperlink r:id="rId8" w:tooltip="Demokracja" w:history="1">
        <w:r w:rsidRPr="000D52A3">
          <w:rPr>
            <w:rStyle w:val="Hipercze"/>
            <w:color w:val="auto"/>
          </w:rPr>
          <w:t>demokratycznych</w:t>
        </w:r>
      </w:hyperlink>
      <w:r w:rsidRPr="000D52A3">
        <w:t xml:space="preserve"> tworzenie prawa jest podstawowym zadaniem </w:t>
      </w:r>
      <w:hyperlink r:id="rId9" w:tooltip="Parlament" w:history="1">
        <w:r w:rsidRPr="000D52A3">
          <w:rPr>
            <w:rStyle w:val="Hipercze"/>
            <w:color w:val="auto"/>
          </w:rPr>
          <w:t>parlamentu</w:t>
        </w:r>
      </w:hyperlink>
      <w:r w:rsidRPr="000D52A3">
        <w:t xml:space="preserve">, ale to nie jedyny organ władzy do tego upoważniony. Parlament jest jedynym organem upoważnionym do tworzenia najwyższych aktów prawnych – </w:t>
      </w:r>
      <w:hyperlink r:id="rId10" w:tooltip="Ustawa" w:history="1">
        <w:r w:rsidRPr="000D52A3">
          <w:rPr>
            <w:rStyle w:val="Hipercze"/>
            <w:color w:val="auto"/>
          </w:rPr>
          <w:t>ustaw</w:t>
        </w:r>
      </w:hyperlink>
      <w:r w:rsidRPr="000D52A3">
        <w:t>, na podstawie których ustala się inne akty prawne. W ten sposób parlament wpływa na zasady działania państwa i na życie obywateli.</w:t>
      </w:r>
    </w:p>
    <w:p w:rsidR="000D52A3" w:rsidRPr="000D52A3" w:rsidRDefault="000D52A3" w:rsidP="000D52A3">
      <w:pPr>
        <w:pStyle w:val="NormalnyWeb"/>
      </w:pPr>
      <w:r w:rsidRPr="000D52A3">
        <w:rPr>
          <w:b/>
          <w:bCs/>
        </w:rPr>
        <w:t>Inicjatywa ustawodawcza</w:t>
      </w:r>
      <w:r w:rsidRPr="000D52A3">
        <w:t xml:space="preserve"> to uprawnienie do przedkładania </w:t>
      </w:r>
      <w:hyperlink r:id="rId11" w:tooltip="Władza ustawodawcza" w:history="1">
        <w:r w:rsidRPr="000D52A3">
          <w:rPr>
            <w:rStyle w:val="Hipercze"/>
            <w:color w:val="auto"/>
          </w:rPr>
          <w:t>władzy ustawodawczej</w:t>
        </w:r>
      </w:hyperlink>
      <w:r w:rsidRPr="000D52A3">
        <w:t xml:space="preserve"> projektów </w:t>
      </w:r>
      <w:hyperlink r:id="rId12" w:tooltip="Akt normatywny" w:history="1">
        <w:r w:rsidRPr="000D52A3">
          <w:rPr>
            <w:rStyle w:val="Hipercze"/>
            <w:color w:val="auto"/>
          </w:rPr>
          <w:t>aktów normatywnych</w:t>
        </w:r>
      </w:hyperlink>
      <w:r w:rsidRPr="000D52A3">
        <w:t xml:space="preserve">. Z reguły krąg podmiotów uprawnionych do wniesienia projektu określany jest w </w:t>
      </w:r>
      <w:hyperlink r:id="rId13" w:tooltip="Konstytucja" w:history="1">
        <w:r w:rsidRPr="000D52A3">
          <w:rPr>
            <w:rStyle w:val="Hipercze"/>
            <w:color w:val="auto"/>
          </w:rPr>
          <w:t>konstytucji</w:t>
        </w:r>
      </w:hyperlink>
      <w:r w:rsidRPr="000D52A3">
        <w:t xml:space="preserve">, rzadziej w </w:t>
      </w:r>
      <w:hyperlink r:id="rId14" w:tooltip="Ustawa" w:history="1">
        <w:r w:rsidRPr="000D52A3">
          <w:rPr>
            <w:rStyle w:val="Hipercze"/>
            <w:color w:val="auto"/>
          </w:rPr>
          <w:t>ustawach</w:t>
        </w:r>
      </w:hyperlink>
      <w:r w:rsidRPr="000D52A3">
        <w:t xml:space="preserve"> zwykłych. Niektóre aspekty prawa inicjatywy ustawodawczej mogą być określane także w regulaminach parlamentarnych lub wynikać ze </w:t>
      </w:r>
      <w:hyperlink r:id="rId15" w:tooltip="Prawo zwyczajowe" w:history="1">
        <w:r w:rsidRPr="000D52A3">
          <w:rPr>
            <w:rStyle w:val="Hipercze"/>
            <w:color w:val="auto"/>
          </w:rPr>
          <w:t>zwyczaju</w:t>
        </w:r>
      </w:hyperlink>
      <w:r w:rsidRPr="000D52A3">
        <w:t>.</w:t>
      </w:r>
    </w:p>
    <w:p w:rsidR="000D52A3" w:rsidRPr="000D52A3" w:rsidRDefault="000D52A3" w:rsidP="000D52A3">
      <w:pPr>
        <w:pStyle w:val="NormalnyWeb"/>
      </w:pPr>
      <w:r w:rsidRPr="000D52A3">
        <w:t xml:space="preserve">Inicjatywa ustawodawcza zazwyczaj przysługuje </w:t>
      </w:r>
      <w:hyperlink r:id="rId16" w:tooltip="Rząd" w:history="1">
        <w:r w:rsidRPr="000D52A3">
          <w:rPr>
            <w:rStyle w:val="Hipercze"/>
            <w:color w:val="auto"/>
          </w:rPr>
          <w:t>rządowi</w:t>
        </w:r>
      </w:hyperlink>
      <w:r w:rsidRPr="000D52A3">
        <w:t xml:space="preserve"> oraz członkom </w:t>
      </w:r>
      <w:hyperlink r:id="rId17" w:tooltip="Parlament" w:history="1">
        <w:r w:rsidRPr="000D52A3">
          <w:rPr>
            <w:rStyle w:val="Hipercze"/>
            <w:color w:val="auto"/>
          </w:rPr>
          <w:t>parlamentu</w:t>
        </w:r>
      </w:hyperlink>
      <w:r w:rsidRPr="000D52A3">
        <w:t>.</w:t>
      </w:r>
    </w:p>
    <w:p w:rsidR="000D52A3" w:rsidRPr="000D52A3" w:rsidRDefault="000D52A3" w:rsidP="000D5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Polsce, na mocy art. 118 </w:t>
      </w:r>
      <w:hyperlink r:id="rId18" w:tooltip="Konstytucja Rzeczypospolitej Polskiej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Konstytucji Rzeczypospolitej Polskiej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>, prawo inicjatywy ustawodawczej przysługuje:</w:t>
      </w:r>
    </w:p>
    <w:p w:rsidR="000D52A3" w:rsidRPr="000D52A3" w:rsidRDefault="000D52A3" w:rsidP="000D5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Senat Rzeczypospolitej Polskiej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Senatowi</w:t>
        </w:r>
      </w:hyperlink>
    </w:p>
    <w:p w:rsidR="000D52A3" w:rsidRPr="000D52A3" w:rsidRDefault="000D52A3" w:rsidP="000D5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Prezydent Rzeczypospolitej Polskiej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Prezydentowi RP</w:t>
        </w:r>
      </w:hyperlink>
    </w:p>
    <w:p w:rsidR="000D52A3" w:rsidRPr="000D52A3" w:rsidRDefault="000D52A3" w:rsidP="000D5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Rada Ministrów w Polsce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Radzie Ministrów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(rządowi)</w:t>
      </w:r>
    </w:p>
    <w:p w:rsidR="000D52A3" w:rsidRPr="000D52A3" w:rsidRDefault="000D52A3" w:rsidP="000D5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oseł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posłom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Regulamin Sejmu wymaga, by projekt był zgłoszony przez grupę 15 posłów lub stałą </w:t>
      </w:r>
      <w:hyperlink r:id="rId23" w:tooltip="Komisje sejmowe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komisję sejmową</w:t>
        </w:r>
      </w:hyperlink>
    </w:p>
    <w:p w:rsidR="000D52A3" w:rsidRPr="000D52A3" w:rsidRDefault="000D52A3" w:rsidP="000D5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grupie 100 tysięcy obywateli - tzw. </w:t>
      </w:r>
      <w:hyperlink r:id="rId24" w:tooltip="Inicjatywa ludowa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inicjatywa ludowa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52A3" w:rsidRPr="000D52A3" w:rsidRDefault="000D52A3" w:rsidP="000D5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 ograniczenie inicjatywy ustawodawczej odnosi się do:</w:t>
      </w:r>
    </w:p>
    <w:p w:rsidR="000D52A3" w:rsidRPr="000D52A3" w:rsidRDefault="000D52A3" w:rsidP="000D5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ustawy budżetowej oraz projektów ustaw bezpośrednio wyznaczających sytuację finansów państwowych - inicjatywę posiada wyłącznie Rada Ministrów (art. 221 Konstytucji)</w:t>
      </w:r>
    </w:p>
    <w:p w:rsidR="000D52A3" w:rsidRPr="000D52A3" w:rsidRDefault="000D52A3" w:rsidP="000D5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ustawy o zmianie konstytucji - inicjatywa przysługuje grupie obejmującej co najmniej 1/5 ustawowej liczby posłów, Senatowi oraz prezydentowi (art. 235 ust.1)</w:t>
      </w:r>
    </w:p>
    <w:p w:rsidR="000D52A3" w:rsidRPr="000D52A3" w:rsidRDefault="000D52A3" w:rsidP="000D52A3">
      <w:pPr>
        <w:pStyle w:val="Nagwek3"/>
        <w:rPr>
          <w:color w:val="auto"/>
        </w:rPr>
      </w:pPr>
      <w:r w:rsidRPr="000D52A3">
        <w:rPr>
          <w:rStyle w:val="mw-headline"/>
          <w:color w:val="auto"/>
        </w:rPr>
        <w:t>Inicjatywa w I filarze</w:t>
      </w:r>
      <w:r w:rsidRPr="000D52A3">
        <w:rPr>
          <w:color w:val="auto"/>
        </w:rPr>
        <w:t xml:space="preserve"> </w:t>
      </w:r>
    </w:p>
    <w:p w:rsidR="000D52A3" w:rsidRPr="000D52A3" w:rsidRDefault="000D52A3" w:rsidP="000D52A3">
      <w:pPr>
        <w:pStyle w:val="NormalnyWeb"/>
      </w:pPr>
      <w:r w:rsidRPr="000D52A3">
        <w:t xml:space="preserve">Bezpośrednia inicjatywa przygotowywania aktów normatywnych we </w:t>
      </w:r>
      <w:hyperlink r:id="rId25" w:tooltip="Wspólnota Europejska" w:history="1">
        <w:r w:rsidRPr="000D52A3">
          <w:rPr>
            <w:rStyle w:val="Hipercze"/>
            <w:color w:val="auto"/>
          </w:rPr>
          <w:t>Wspólnocie Europejskiej</w:t>
        </w:r>
      </w:hyperlink>
      <w:r w:rsidRPr="000D52A3">
        <w:t xml:space="preserve"> z pewnymi wyjątkami zarezerwowana jest dla </w:t>
      </w:r>
      <w:hyperlink r:id="rId26" w:tooltip="Komisja Europejska" w:history="1">
        <w:r w:rsidRPr="000D52A3">
          <w:rPr>
            <w:rStyle w:val="Hipercze"/>
            <w:color w:val="auto"/>
          </w:rPr>
          <w:t>Komisji Europejskiej</w:t>
        </w:r>
      </w:hyperlink>
      <w:r w:rsidRPr="000D52A3">
        <w:t xml:space="preserve">. Jedynie w przypadku tworzenia wspólnej dla państw członkowskich Unii ordynacji wyborczej do </w:t>
      </w:r>
      <w:hyperlink r:id="rId27" w:tooltip="Parlament Europejski" w:history="1">
        <w:r w:rsidRPr="000D52A3">
          <w:rPr>
            <w:rStyle w:val="Hipercze"/>
            <w:color w:val="auto"/>
          </w:rPr>
          <w:t>Parlamentu Europejskiego</w:t>
        </w:r>
      </w:hyperlink>
      <w:r w:rsidRPr="000D52A3">
        <w:t xml:space="preserve">, inicjatywa w tym zakresie należy do samego Parlamentu. Poza tym w pięcioletnim okresie przejściowych po wejściu w życie </w:t>
      </w:r>
      <w:hyperlink r:id="rId28" w:tooltip="Traktat amsterdamski" w:history="1">
        <w:r w:rsidRPr="000D52A3">
          <w:rPr>
            <w:rStyle w:val="Hipercze"/>
            <w:color w:val="auto"/>
          </w:rPr>
          <w:t>Traktatu amsterdamskiego</w:t>
        </w:r>
      </w:hyperlink>
      <w:r w:rsidRPr="000D52A3">
        <w:t xml:space="preserve"> (</w:t>
      </w:r>
      <w:hyperlink r:id="rId29" w:tooltip="1 maja" w:history="1">
        <w:r w:rsidRPr="000D52A3">
          <w:rPr>
            <w:rStyle w:val="Hipercze"/>
            <w:color w:val="auto"/>
          </w:rPr>
          <w:t>1 maja</w:t>
        </w:r>
      </w:hyperlink>
      <w:r w:rsidRPr="000D52A3">
        <w:t xml:space="preserve"> </w:t>
      </w:r>
      <w:hyperlink r:id="rId30" w:tooltip="1999" w:history="1">
        <w:r w:rsidRPr="000D52A3">
          <w:rPr>
            <w:rStyle w:val="Hipercze"/>
            <w:color w:val="auto"/>
          </w:rPr>
          <w:t>1999</w:t>
        </w:r>
      </w:hyperlink>
      <w:r w:rsidRPr="000D52A3">
        <w:t xml:space="preserve"> - 1 maja </w:t>
      </w:r>
      <w:hyperlink r:id="rId31" w:tooltip="2004" w:history="1">
        <w:r w:rsidRPr="000D52A3">
          <w:rPr>
            <w:rStyle w:val="Hipercze"/>
            <w:color w:val="auto"/>
          </w:rPr>
          <w:t>2004</w:t>
        </w:r>
      </w:hyperlink>
      <w:r w:rsidRPr="000D52A3">
        <w:t>) Komisja Europejska dzieliła inicjatywę prawodawczą z państwami członkowskimi w obrębie tytułu IV Traktatu ustanawiającego Wspólnotę Europejską (wizy, imigracja, azyl, współpraca sądowa w sprawach cywilnych).</w:t>
      </w:r>
    </w:p>
    <w:p w:rsidR="000D52A3" w:rsidRPr="000D52A3" w:rsidRDefault="000D52A3" w:rsidP="000D52A3">
      <w:pPr>
        <w:pStyle w:val="NormalnyWeb"/>
      </w:pPr>
      <w:r w:rsidRPr="000D52A3">
        <w:t xml:space="preserve">Parlament Europejski oraz </w:t>
      </w:r>
      <w:hyperlink r:id="rId32" w:tooltip="Rada Unii Europejskiej" w:history="1">
        <w:r w:rsidRPr="000D52A3">
          <w:rPr>
            <w:rStyle w:val="Hipercze"/>
            <w:color w:val="auto"/>
          </w:rPr>
          <w:t>Rada Unii Europejskiej</w:t>
        </w:r>
      </w:hyperlink>
      <w:r w:rsidRPr="000D52A3">
        <w:t xml:space="preserve"> posiadają tzw. </w:t>
      </w:r>
      <w:r w:rsidRPr="000D52A3">
        <w:rPr>
          <w:b/>
          <w:bCs/>
        </w:rPr>
        <w:t>inicjatywę pośrednią</w:t>
      </w:r>
      <w:r w:rsidRPr="000D52A3">
        <w:t xml:space="preserve">, która oznacza, iż mogą one żądać od Komisji Europejskiej przedłożenia określonej inicjatywy prawodawczej. Niemniej </w:t>
      </w:r>
      <w:proofErr w:type="spellStart"/>
      <w:r w:rsidRPr="000D52A3">
        <w:t>żadanie</w:t>
      </w:r>
      <w:proofErr w:type="spellEnd"/>
      <w:r w:rsidRPr="000D52A3">
        <w:t xml:space="preserve"> to nie tworzy dla Komisji obowiązku prawnie wiążącego. </w:t>
      </w:r>
      <w:r w:rsidRPr="000D52A3">
        <w:lastRenderedPageBreak/>
        <w:t>Od oceny Komisji zależy, czy wystąpi z określoną inicjatywą, a jeśli tak, to jaka będzie jej treść.</w:t>
      </w:r>
    </w:p>
    <w:p w:rsidR="000D52A3" w:rsidRPr="000D52A3" w:rsidRDefault="000D52A3" w:rsidP="000D52A3">
      <w:pPr>
        <w:pStyle w:val="Nagwek3"/>
        <w:rPr>
          <w:color w:val="auto"/>
        </w:rPr>
      </w:pPr>
      <w:r w:rsidRPr="000D52A3">
        <w:rPr>
          <w:rStyle w:val="mw-headline"/>
          <w:color w:val="auto"/>
        </w:rPr>
        <w:t>Inicjatywa w II i III filarze</w:t>
      </w:r>
      <w:r w:rsidRPr="000D52A3">
        <w:rPr>
          <w:color w:val="auto"/>
        </w:rPr>
        <w:t xml:space="preserve"> </w:t>
      </w:r>
    </w:p>
    <w:p w:rsidR="000D52A3" w:rsidRPr="000D52A3" w:rsidRDefault="000D52A3" w:rsidP="000D52A3">
      <w:pPr>
        <w:pStyle w:val="NormalnyWeb"/>
      </w:pPr>
      <w:r w:rsidRPr="000D52A3">
        <w:t xml:space="preserve">W obszarze II filaru </w:t>
      </w:r>
      <w:hyperlink r:id="rId33" w:tooltip="Unia Europejska" w:history="1">
        <w:r w:rsidRPr="000D52A3">
          <w:rPr>
            <w:rStyle w:val="Hipercze"/>
            <w:color w:val="auto"/>
          </w:rPr>
          <w:t>Unii Europejskiej</w:t>
        </w:r>
      </w:hyperlink>
      <w:r w:rsidRPr="000D52A3">
        <w:t xml:space="preserve"> (</w:t>
      </w:r>
      <w:hyperlink r:id="rId34" w:tooltip="Wspólna polityka zagraniczna i bezpieczeństwa" w:history="1">
        <w:r w:rsidRPr="000D52A3">
          <w:rPr>
            <w:rStyle w:val="Hipercze"/>
            <w:color w:val="auto"/>
          </w:rPr>
          <w:t>Wspólna polityka zagraniczna i bezpieczeństwa</w:t>
        </w:r>
      </w:hyperlink>
      <w:r w:rsidRPr="000D52A3">
        <w:t xml:space="preserve">) inicjatywa należy do </w:t>
      </w:r>
      <w:hyperlink r:id="rId35" w:tooltip="Rada Europejska" w:history="1">
        <w:r w:rsidRPr="000D52A3">
          <w:rPr>
            <w:rStyle w:val="Hipercze"/>
            <w:color w:val="auto"/>
          </w:rPr>
          <w:t>Rady Europejskiej</w:t>
        </w:r>
      </w:hyperlink>
      <w:r w:rsidRPr="000D52A3">
        <w:t xml:space="preserve"> oraz Rady Unii Europejskiej. Jednak Rada UE może żądać od Komisji przedstawienia "wszelkich właściwych propozycji", co uprawnia do stwierdzenia, iż pośrednią inicjatywę prawodawczą w II filarze może posiadać Komisja Europejska.</w:t>
      </w:r>
    </w:p>
    <w:p w:rsidR="000D52A3" w:rsidRPr="000D52A3" w:rsidRDefault="000D52A3" w:rsidP="000D52A3">
      <w:pPr>
        <w:pStyle w:val="NormalnyWeb"/>
      </w:pPr>
      <w:r w:rsidRPr="000D52A3">
        <w:t>Z kolei w ramach III filaru UE (</w:t>
      </w:r>
      <w:hyperlink r:id="rId36" w:tooltip="Współpraca policyjna i sądowa w sprawach karnych" w:history="1">
        <w:r w:rsidRPr="000D52A3">
          <w:rPr>
            <w:rStyle w:val="Hipercze"/>
            <w:color w:val="auto"/>
          </w:rPr>
          <w:t>Współpraca policyjna i sądowa w sprawach karnych</w:t>
        </w:r>
      </w:hyperlink>
      <w:r w:rsidRPr="000D52A3">
        <w:t>) inicjatywa dzielona jest między Komisję Europejską i państwa członkowskie Unii.</w:t>
      </w:r>
    </w:p>
    <w:p w:rsidR="000D52A3" w:rsidRDefault="000D52A3" w:rsidP="000D5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52A3" w:rsidRPr="000D52A3" w:rsidRDefault="000D52A3" w:rsidP="000D5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Władza wykonawcza</w:t>
      </w:r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0D5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egzekutywa</w:t>
      </w:r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>) - to działalność polegająca na wykonywaniu zadań państwowych mających na celu realizację dobra ogółu (</w:t>
      </w:r>
      <w:hyperlink r:id="rId37" w:tooltip="Społeczeństwo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społeczeństwa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hyperlink r:id="rId38" w:anchor="cite_note-0" w:history="1">
        <w:r w:rsidRPr="000D52A3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pl-PL"/>
          </w:rPr>
          <w:t>[1]</w:t>
        </w:r>
      </w:hyperlink>
    </w:p>
    <w:p w:rsidR="000D52A3" w:rsidRPr="000D52A3" w:rsidRDefault="000D52A3" w:rsidP="000D5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Egzekutywa jest </w:t>
      </w:r>
      <w:hyperlink r:id="rId39" w:tooltip="Władza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władzą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zarządzającą sprawami </w:t>
      </w:r>
      <w:hyperlink r:id="rId40" w:tooltip="Państwo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państwa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Wprowadza ona prawa i obowiązki obywateli w życie, jeśli zgodne są one z </w:t>
      </w:r>
      <w:hyperlink r:id="rId41" w:tooltip="Konstytucja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konstytucją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52A3" w:rsidRPr="000D52A3" w:rsidRDefault="000D52A3" w:rsidP="000D5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ona jedną z władz określonych w koncepcji </w:t>
      </w:r>
      <w:hyperlink r:id="rId42" w:tooltip="Trójpodział władzy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trójpodziału władzy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myśl tej zasady władza ustawodawcza, sądownicza oraz wykonawcza są od siebie zupełnie niezależne, co wyklucza w założeniu </w:t>
      </w:r>
      <w:hyperlink r:id="rId43" w:tooltip="Alienacja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alienację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władzy oraz </w:t>
      </w:r>
      <w:hyperlink r:id="rId44" w:tooltip="Despotyzm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despotyzm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45" w:tooltip="Autorytaryzm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autorytaryzm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którejkolwiek z nich.</w:t>
      </w:r>
    </w:p>
    <w:p w:rsidR="000D52A3" w:rsidRPr="000D52A3" w:rsidRDefault="000D52A3" w:rsidP="000D52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D52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Polsce</w:t>
      </w:r>
    </w:p>
    <w:p w:rsidR="000D52A3" w:rsidRPr="000D52A3" w:rsidRDefault="000D52A3" w:rsidP="000D52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46" w:tooltip="Polska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Polsce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egzekutywy są </w:t>
      </w:r>
      <w:hyperlink r:id="rId47" w:tooltip="Prezydent Rzeczypospolitej Polskiej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Prezydent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48" w:tooltip="Rada Ministrów w Polsce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Rząd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organy konstytucyjne</w:t>
      </w:r>
      <w:hyperlink r:id="rId49" w:anchor="cite_note-1" w:history="1">
        <w:r w:rsidRPr="000D52A3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pl-PL"/>
          </w:rPr>
          <w:t>[2]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Jednak do władzy wykonawczej zalicza się również </w:t>
      </w:r>
      <w:hyperlink r:id="rId50" w:tooltip="Prezes Rady Ministrów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Premiera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organy administracji rządowej.</w:t>
      </w:r>
    </w:p>
    <w:p w:rsidR="000D52A3" w:rsidRPr="000D52A3" w:rsidRDefault="000D52A3" w:rsidP="000D5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władzy wykonawczej jest także </w:t>
      </w:r>
      <w:hyperlink r:id="rId51" w:tooltip="Krajowa Rada Radiofonii i Telewizji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Krajowa Rada Radiofonii i Telewizji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umocowana w </w:t>
      </w:r>
      <w:hyperlink r:id="rId52" w:tooltip="Konstytucja Rzeczypospolitej Polskiej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Konstytucji RP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wydawania </w:t>
      </w:r>
      <w:hyperlink r:id="rId53" w:tooltip="Rozporządzenie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rozporządzeń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52A3" w:rsidRPr="000D52A3" w:rsidRDefault="000D52A3" w:rsidP="000D5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Ordynacja wyborcza do </w:t>
      </w:r>
      <w:hyperlink r:id="rId54" w:tooltip="Sejm Rzeczypospolitej Polskiej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Sejmu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RP i do </w:t>
      </w:r>
      <w:hyperlink r:id="rId55" w:tooltip="Senat Rzeczypospolitej Polskiej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Senatu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RP ustanawia </w:t>
      </w:r>
      <w:hyperlink r:id="rId56" w:tooltip="Państwowa Komisja Wyborcza" w:history="1">
        <w:r w:rsidRPr="000D5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Państwową Komisję Wyborczą</w:t>
        </w:r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</w:t>
      </w:r>
      <w:hyperlink r:id="rId57" w:tooltip="Sui generis (strona nie istnieje)" w:history="1">
        <w:proofErr w:type="spellStart"/>
        <w:r w:rsidRPr="000D52A3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sui</w:t>
        </w:r>
        <w:proofErr w:type="spellEnd"/>
        <w:r w:rsidRPr="000D52A3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0D52A3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generis</w:t>
        </w:r>
        <w:proofErr w:type="spellEnd"/>
      </w:hyperlink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władzy wykonawczej. PKW, jako organ </w:t>
      </w:r>
      <w:proofErr w:type="spellStart"/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>pozakonstytucyjny</w:t>
      </w:r>
      <w:proofErr w:type="spellEnd"/>
      <w:r w:rsidRPr="000D52A3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ma prawa do wydawania rozporządzeń, jej wytyczne są wiążące tylko dla organów wyborczych niższego szczebla.</w:t>
      </w:r>
    </w:p>
    <w:p w:rsidR="00384D9B" w:rsidRDefault="00384D9B"/>
    <w:sectPr w:rsidR="00384D9B" w:rsidSect="0038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20EE"/>
    <w:multiLevelType w:val="multilevel"/>
    <w:tmpl w:val="F93A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C0A0B"/>
    <w:multiLevelType w:val="multilevel"/>
    <w:tmpl w:val="E28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2A3"/>
    <w:rsid w:val="000D52A3"/>
    <w:rsid w:val="00384D9B"/>
    <w:rsid w:val="0049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9B"/>
  </w:style>
  <w:style w:type="paragraph" w:styleId="Nagwek2">
    <w:name w:val="heading 2"/>
    <w:basedOn w:val="Normalny"/>
    <w:link w:val="Nagwek2Znak"/>
    <w:uiPriority w:val="9"/>
    <w:qFormat/>
    <w:rsid w:val="000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5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52A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D52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0D52A3"/>
  </w:style>
  <w:style w:type="character" w:customStyle="1" w:styleId="editsection">
    <w:name w:val="editsection"/>
    <w:basedOn w:val="Domylnaczcionkaakapitu"/>
    <w:rsid w:val="000D52A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D52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Konstytucja" TargetMode="External"/><Relationship Id="rId18" Type="http://schemas.openxmlformats.org/officeDocument/2006/relationships/hyperlink" Target="http://pl.wikipedia.org/wiki/Konstytucja_Rzeczypospolitej_Polskiej" TargetMode="External"/><Relationship Id="rId26" Type="http://schemas.openxmlformats.org/officeDocument/2006/relationships/hyperlink" Target="http://pl.wikipedia.org/wiki/Komisja_Europejska" TargetMode="External"/><Relationship Id="rId39" Type="http://schemas.openxmlformats.org/officeDocument/2006/relationships/hyperlink" Target="http://pl.wikipedia.org/wiki/W%C5%82adza" TargetMode="External"/><Relationship Id="rId21" Type="http://schemas.openxmlformats.org/officeDocument/2006/relationships/hyperlink" Target="http://pl.wikipedia.org/wiki/Rada_Ministr%C3%B3w_w_Polsce" TargetMode="External"/><Relationship Id="rId34" Type="http://schemas.openxmlformats.org/officeDocument/2006/relationships/hyperlink" Target="http://pl.wikipedia.org/wiki/Wsp%C3%B3lna_polityka_zagraniczna_i_bezpiecze%C5%84stwa" TargetMode="External"/><Relationship Id="rId42" Type="http://schemas.openxmlformats.org/officeDocument/2006/relationships/hyperlink" Target="http://pl.wikipedia.org/wiki/Tr%C3%B3jpodzia%C5%82_w%C5%82adzy" TargetMode="External"/><Relationship Id="rId47" Type="http://schemas.openxmlformats.org/officeDocument/2006/relationships/hyperlink" Target="http://pl.wikipedia.org/wiki/Prezydent_Rzeczypospolitej_Polskiej" TargetMode="External"/><Relationship Id="rId50" Type="http://schemas.openxmlformats.org/officeDocument/2006/relationships/hyperlink" Target="http://pl.wikipedia.org/wiki/Prezes_Rady_Ministr%C3%B3w" TargetMode="External"/><Relationship Id="rId55" Type="http://schemas.openxmlformats.org/officeDocument/2006/relationships/hyperlink" Target="http://pl.wikipedia.org/wiki/Senat_Rzeczypospolitej_Polskiej" TargetMode="External"/><Relationship Id="rId7" Type="http://schemas.openxmlformats.org/officeDocument/2006/relationships/hyperlink" Target="http://pl.wikipedia.org/wiki/Prawo" TargetMode="External"/><Relationship Id="rId12" Type="http://schemas.openxmlformats.org/officeDocument/2006/relationships/hyperlink" Target="http://pl.wikipedia.org/wiki/Akt_normatywny" TargetMode="External"/><Relationship Id="rId17" Type="http://schemas.openxmlformats.org/officeDocument/2006/relationships/hyperlink" Target="http://pl.wikipedia.org/wiki/Parlament" TargetMode="External"/><Relationship Id="rId25" Type="http://schemas.openxmlformats.org/officeDocument/2006/relationships/hyperlink" Target="http://pl.wikipedia.org/wiki/Wsp%C3%B3lnota_Europejska" TargetMode="External"/><Relationship Id="rId33" Type="http://schemas.openxmlformats.org/officeDocument/2006/relationships/hyperlink" Target="http://pl.wikipedia.org/wiki/Unia_Europejska" TargetMode="External"/><Relationship Id="rId38" Type="http://schemas.openxmlformats.org/officeDocument/2006/relationships/hyperlink" Target="http://pl.wikipedia.org/wiki/W%C5%82adza_wykonawcza" TargetMode="External"/><Relationship Id="rId46" Type="http://schemas.openxmlformats.org/officeDocument/2006/relationships/hyperlink" Target="http://pl.wikipedia.org/wiki/Polska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.wikipedia.org/wiki/Rz%C4%85d" TargetMode="External"/><Relationship Id="rId20" Type="http://schemas.openxmlformats.org/officeDocument/2006/relationships/hyperlink" Target="http://pl.wikipedia.org/wiki/Prezydent_Rzeczypospolitej_Polskiej" TargetMode="External"/><Relationship Id="rId29" Type="http://schemas.openxmlformats.org/officeDocument/2006/relationships/hyperlink" Target="http://pl.wikipedia.org/wiki/1_maja" TargetMode="External"/><Relationship Id="rId41" Type="http://schemas.openxmlformats.org/officeDocument/2006/relationships/hyperlink" Target="http://pl.wikipedia.org/wiki/Konstytucja" TargetMode="External"/><Relationship Id="rId54" Type="http://schemas.openxmlformats.org/officeDocument/2006/relationships/hyperlink" Target="http://pl.wikipedia.org/wiki/Sejm_Rzeczypospolitej_Polski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Monteskiusz" TargetMode="External"/><Relationship Id="rId11" Type="http://schemas.openxmlformats.org/officeDocument/2006/relationships/hyperlink" Target="http://pl.wikipedia.org/wiki/W%C5%82adza_ustawodawcza" TargetMode="External"/><Relationship Id="rId24" Type="http://schemas.openxmlformats.org/officeDocument/2006/relationships/hyperlink" Target="http://pl.wikipedia.org/wiki/Inicjatywa_ludowa" TargetMode="External"/><Relationship Id="rId32" Type="http://schemas.openxmlformats.org/officeDocument/2006/relationships/hyperlink" Target="http://pl.wikipedia.org/wiki/Rada_Unii_Europejskiej" TargetMode="External"/><Relationship Id="rId37" Type="http://schemas.openxmlformats.org/officeDocument/2006/relationships/hyperlink" Target="http://pl.wikipedia.org/wiki/Spo%C5%82ecze%C5%84stwo" TargetMode="External"/><Relationship Id="rId40" Type="http://schemas.openxmlformats.org/officeDocument/2006/relationships/hyperlink" Target="http://pl.wikipedia.org/wiki/Pa%C5%84stwo" TargetMode="External"/><Relationship Id="rId45" Type="http://schemas.openxmlformats.org/officeDocument/2006/relationships/hyperlink" Target="http://pl.wikipedia.org/wiki/Autorytaryzm" TargetMode="External"/><Relationship Id="rId53" Type="http://schemas.openxmlformats.org/officeDocument/2006/relationships/hyperlink" Target="http://pl.wikipedia.org/wiki/Rozporz%C4%85dzeni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pl.wikipedia.org/wiki/Tr%C3%B3jpodzia%C5%82_w%C5%82adzy" TargetMode="External"/><Relationship Id="rId15" Type="http://schemas.openxmlformats.org/officeDocument/2006/relationships/hyperlink" Target="http://pl.wikipedia.org/wiki/Prawo_zwyczajowe" TargetMode="External"/><Relationship Id="rId23" Type="http://schemas.openxmlformats.org/officeDocument/2006/relationships/hyperlink" Target="http://pl.wikipedia.org/wiki/Komisje_sejmowe" TargetMode="External"/><Relationship Id="rId28" Type="http://schemas.openxmlformats.org/officeDocument/2006/relationships/hyperlink" Target="http://pl.wikipedia.org/wiki/Traktat_amsterdamski" TargetMode="External"/><Relationship Id="rId36" Type="http://schemas.openxmlformats.org/officeDocument/2006/relationships/hyperlink" Target="http://pl.wikipedia.org/wiki/Wsp%C3%B3%C5%82praca_policyjna_i_s%C4%85dowa_w_sprawach_karnych" TargetMode="External"/><Relationship Id="rId49" Type="http://schemas.openxmlformats.org/officeDocument/2006/relationships/hyperlink" Target="http://pl.wikipedia.org/wiki/W%C5%82adza_wykonawcza" TargetMode="External"/><Relationship Id="rId57" Type="http://schemas.openxmlformats.org/officeDocument/2006/relationships/hyperlink" Target="http://pl.wikipedia.org/w/index.php?title=Sui_generis&amp;action=edit&amp;redlink=1" TargetMode="External"/><Relationship Id="rId10" Type="http://schemas.openxmlformats.org/officeDocument/2006/relationships/hyperlink" Target="http://pl.wikipedia.org/wiki/Ustawa" TargetMode="External"/><Relationship Id="rId19" Type="http://schemas.openxmlformats.org/officeDocument/2006/relationships/hyperlink" Target="http://pl.wikipedia.org/wiki/Senat_Rzeczypospolitej_Polskiej" TargetMode="External"/><Relationship Id="rId31" Type="http://schemas.openxmlformats.org/officeDocument/2006/relationships/hyperlink" Target="http://pl.wikipedia.org/wiki/2004" TargetMode="External"/><Relationship Id="rId44" Type="http://schemas.openxmlformats.org/officeDocument/2006/relationships/hyperlink" Target="http://pl.wikipedia.org/wiki/Despotyzm" TargetMode="External"/><Relationship Id="rId52" Type="http://schemas.openxmlformats.org/officeDocument/2006/relationships/hyperlink" Target="http://pl.wikipedia.org/wiki/Konstytucja_Rzeczypospolitej_Polski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arlament" TargetMode="External"/><Relationship Id="rId14" Type="http://schemas.openxmlformats.org/officeDocument/2006/relationships/hyperlink" Target="http://pl.wikipedia.org/wiki/Ustawa" TargetMode="External"/><Relationship Id="rId22" Type="http://schemas.openxmlformats.org/officeDocument/2006/relationships/hyperlink" Target="http://pl.wikipedia.org/wiki/Pose%C5%82" TargetMode="External"/><Relationship Id="rId27" Type="http://schemas.openxmlformats.org/officeDocument/2006/relationships/hyperlink" Target="http://pl.wikipedia.org/wiki/Parlament_Europejski" TargetMode="External"/><Relationship Id="rId30" Type="http://schemas.openxmlformats.org/officeDocument/2006/relationships/hyperlink" Target="http://pl.wikipedia.org/wiki/1999" TargetMode="External"/><Relationship Id="rId35" Type="http://schemas.openxmlformats.org/officeDocument/2006/relationships/hyperlink" Target="http://pl.wikipedia.org/wiki/Rada_Europejska" TargetMode="External"/><Relationship Id="rId43" Type="http://schemas.openxmlformats.org/officeDocument/2006/relationships/hyperlink" Target="http://pl.wikipedia.org/wiki/Alienacja" TargetMode="External"/><Relationship Id="rId48" Type="http://schemas.openxmlformats.org/officeDocument/2006/relationships/hyperlink" Target="http://pl.wikipedia.org/wiki/Rada_Ministr%C3%B3w_w_Polsce" TargetMode="External"/><Relationship Id="rId56" Type="http://schemas.openxmlformats.org/officeDocument/2006/relationships/hyperlink" Target="http://pl.wikipedia.org/wiki/Pa%C5%84stwowa_Komisja_Wyborcza" TargetMode="External"/><Relationship Id="rId8" Type="http://schemas.openxmlformats.org/officeDocument/2006/relationships/hyperlink" Target="http://pl.wikipedia.org/wiki/Demokracja" TargetMode="External"/><Relationship Id="rId51" Type="http://schemas.openxmlformats.org/officeDocument/2006/relationships/hyperlink" Target="http://pl.wikipedia.org/wiki/Krajowa_Rada_Radiofonii_i_Telewizj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cp:lastPrinted>2009-11-18T20:41:00Z</cp:lastPrinted>
  <dcterms:created xsi:type="dcterms:W3CDTF">2009-11-18T20:34:00Z</dcterms:created>
  <dcterms:modified xsi:type="dcterms:W3CDTF">2009-11-18T20:47:00Z</dcterms:modified>
</cp:coreProperties>
</file>